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B" w:rsidRDefault="00BF582B" w:rsidP="00BF582B">
      <w:pPr>
        <w:rPr>
          <w:b/>
        </w:rPr>
      </w:pPr>
    </w:p>
    <w:p w:rsidR="00BF582B" w:rsidRPr="001F6C98" w:rsidRDefault="00BF582B" w:rsidP="00BF582B">
      <w:pPr>
        <w:rPr>
          <w:rFonts w:ascii="Arial" w:hAnsi="Arial" w:cs="Arial"/>
          <w:b/>
          <w:bCs/>
          <w:szCs w:val="24"/>
        </w:rPr>
      </w:pPr>
      <w:r w:rsidRPr="001F6C98">
        <w:rPr>
          <w:rFonts w:ascii="Arial" w:hAnsi="Arial" w:cs="Arial"/>
          <w:b/>
          <w:bCs/>
          <w:szCs w:val="24"/>
        </w:rPr>
        <w:t xml:space="preserve">Publicity </w:t>
      </w:r>
    </w:p>
    <w:p w:rsidR="00BF582B" w:rsidRPr="004B16BC" w:rsidRDefault="00BF582B" w:rsidP="00BF582B">
      <w:pPr>
        <w:autoSpaceDE w:val="0"/>
        <w:autoSpaceDN w:val="0"/>
        <w:adjustRightInd w:val="0"/>
        <w:rPr>
          <w:rFonts w:ascii="Raavi" w:hAnsi="Raavi" w:cs="Raavi"/>
          <w:color w:val="231F20"/>
          <w:sz w:val="22"/>
          <w:szCs w:val="22"/>
        </w:rPr>
      </w:pPr>
    </w:p>
    <w:p w:rsidR="00BF582B" w:rsidRPr="001F6C98" w:rsidRDefault="00BF582B" w:rsidP="00BF582B">
      <w:pPr>
        <w:autoSpaceDE w:val="0"/>
        <w:autoSpaceDN w:val="0"/>
        <w:adjustRightInd w:val="0"/>
        <w:rPr>
          <w:rFonts w:ascii="Arial" w:hAnsi="Arial" w:cs="Arial"/>
          <w:color w:val="231F20"/>
          <w:sz w:val="22"/>
          <w:szCs w:val="22"/>
        </w:rPr>
      </w:pPr>
      <w:r w:rsidRPr="001F6C98">
        <w:rPr>
          <w:rFonts w:ascii="Arial" w:hAnsi="Arial" w:cs="Arial"/>
          <w:color w:val="231F20"/>
          <w:sz w:val="22"/>
          <w:szCs w:val="22"/>
        </w:rPr>
        <w:t xml:space="preserve">Letting your community-at-large know about your plans for </w:t>
      </w:r>
      <w:r w:rsidR="001F6C98" w:rsidRPr="001F6C98">
        <w:rPr>
          <w:rFonts w:ascii="Arial" w:hAnsi="Arial" w:cs="Arial"/>
          <w:color w:val="231F20"/>
          <w:sz w:val="22"/>
          <w:szCs w:val="22"/>
        </w:rPr>
        <w:t>National Nursing Home Week (</w:t>
      </w:r>
      <w:r w:rsidRPr="001F6C98">
        <w:rPr>
          <w:rFonts w:ascii="Arial" w:hAnsi="Arial" w:cs="Arial"/>
          <w:color w:val="231F20"/>
          <w:sz w:val="22"/>
          <w:szCs w:val="22"/>
        </w:rPr>
        <w:t>NNHW</w:t>
      </w:r>
      <w:r w:rsidR="001F6C98" w:rsidRPr="001F6C98">
        <w:rPr>
          <w:rFonts w:ascii="Arial" w:hAnsi="Arial" w:cs="Arial"/>
          <w:color w:val="231F20"/>
          <w:sz w:val="22"/>
          <w:szCs w:val="22"/>
        </w:rPr>
        <w:t>)</w:t>
      </w:r>
      <w:r w:rsidRPr="001F6C98">
        <w:rPr>
          <w:rFonts w:ascii="Arial" w:hAnsi="Arial" w:cs="Arial"/>
          <w:color w:val="231F20"/>
          <w:sz w:val="22"/>
          <w:szCs w:val="22"/>
        </w:rPr>
        <w:t xml:space="preserve"> can bring many benefits. This is especially important if you are planning activities that involve families or members of the public. It is always a good idea to use events like NNHW to generate positive PR for your facility and to get your residents and staff in the spotlight. </w:t>
      </w:r>
    </w:p>
    <w:p w:rsidR="00BF582B" w:rsidRPr="001F6C98" w:rsidRDefault="00BF582B" w:rsidP="00BF582B">
      <w:pPr>
        <w:autoSpaceDE w:val="0"/>
        <w:autoSpaceDN w:val="0"/>
        <w:adjustRightInd w:val="0"/>
        <w:rPr>
          <w:rFonts w:ascii="Arial" w:hAnsi="Arial" w:cs="Arial"/>
          <w:color w:val="231F20"/>
          <w:sz w:val="22"/>
          <w:szCs w:val="22"/>
        </w:rPr>
      </w:pPr>
    </w:p>
    <w:p w:rsidR="00BF582B" w:rsidRPr="001F6C98" w:rsidRDefault="00BF582B" w:rsidP="00BF582B">
      <w:pPr>
        <w:autoSpaceDE w:val="0"/>
        <w:autoSpaceDN w:val="0"/>
        <w:adjustRightInd w:val="0"/>
        <w:rPr>
          <w:rFonts w:ascii="Arial" w:hAnsi="Arial" w:cs="Arial"/>
          <w:b/>
          <w:bCs/>
          <w:color w:val="231F20"/>
          <w:sz w:val="22"/>
          <w:szCs w:val="22"/>
        </w:rPr>
      </w:pPr>
      <w:r w:rsidRPr="001F6C98">
        <w:rPr>
          <w:rFonts w:ascii="Arial" w:hAnsi="Arial" w:cs="Arial"/>
          <w:b/>
          <w:bCs/>
          <w:color w:val="231F20"/>
          <w:sz w:val="22"/>
          <w:szCs w:val="22"/>
        </w:rPr>
        <w:t>Five Steps to Positive PR</w:t>
      </w:r>
    </w:p>
    <w:p w:rsidR="00BF582B" w:rsidRPr="001F6C98" w:rsidRDefault="00BF582B" w:rsidP="00BF582B">
      <w:pPr>
        <w:autoSpaceDE w:val="0"/>
        <w:autoSpaceDN w:val="0"/>
        <w:adjustRightInd w:val="0"/>
        <w:rPr>
          <w:rFonts w:ascii="Arial" w:hAnsi="Arial" w:cs="Arial"/>
          <w:color w:val="231F20"/>
          <w:sz w:val="22"/>
          <w:szCs w:val="22"/>
        </w:rPr>
      </w:pPr>
    </w:p>
    <w:p w:rsidR="00BF582B" w:rsidRPr="001F6C98" w:rsidRDefault="00BF582B" w:rsidP="00BF582B">
      <w:pPr>
        <w:pStyle w:val="ListParagraph"/>
        <w:numPr>
          <w:ilvl w:val="0"/>
          <w:numId w:val="1"/>
        </w:numPr>
        <w:autoSpaceDE w:val="0"/>
        <w:autoSpaceDN w:val="0"/>
        <w:adjustRightInd w:val="0"/>
        <w:rPr>
          <w:rFonts w:ascii="Arial" w:hAnsi="Arial" w:cs="Arial"/>
          <w:color w:val="231F20"/>
          <w:sz w:val="22"/>
          <w:szCs w:val="22"/>
        </w:rPr>
      </w:pPr>
      <w:r w:rsidRPr="001F6C98">
        <w:rPr>
          <w:rFonts w:ascii="Arial" w:hAnsi="Arial" w:cs="Arial"/>
          <w:b/>
          <w:bCs/>
          <w:color w:val="231F20"/>
          <w:sz w:val="22"/>
          <w:szCs w:val="22"/>
        </w:rPr>
        <w:t>Know Your Contacts—</w:t>
      </w:r>
      <w:proofErr w:type="gramStart"/>
      <w:r w:rsidRPr="001F6C98">
        <w:rPr>
          <w:rFonts w:ascii="Arial" w:hAnsi="Arial" w:cs="Arial"/>
          <w:bCs/>
          <w:color w:val="231F20"/>
          <w:sz w:val="22"/>
          <w:szCs w:val="22"/>
        </w:rPr>
        <w:t>A</w:t>
      </w:r>
      <w:proofErr w:type="gramEnd"/>
      <w:r w:rsidRPr="001F6C98">
        <w:rPr>
          <w:rFonts w:ascii="Arial" w:hAnsi="Arial" w:cs="Arial"/>
          <w:color w:val="231F20"/>
          <w:sz w:val="22"/>
          <w:szCs w:val="22"/>
        </w:rPr>
        <w:t xml:space="preserve"> first step to making your event public is to develop a list of local media outlets and contacts. For events like NNHW, focus on weekly suburban and shopper-type newspapers as well as special senior publications or newsletters. All these outlets rely on neighborhood news—and photographs. The “Style,” “Lifestyle” or county sections of larger daily newspapers may also cover your event. Send publicity to local radio stations too.</w:t>
      </w:r>
    </w:p>
    <w:p w:rsidR="00BF582B" w:rsidRPr="001F6C98" w:rsidRDefault="00BF582B" w:rsidP="00BF582B">
      <w:pPr>
        <w:autoSpaceDE w:val="0"/>
        <w:autoSpaceDN w:val="0"/>
        <w:adjustRightInd w:val="0"/>
        <w:rPr>
          <w:rFonts w:ascii="Arial" w:hAnsi="Arial" w:cs="Arial"/>
          <w:color w:val="231F20"/>
          <w:sz w:val="22"/>
          <w:szCs w:val="22"/>
        </w:rPr>
      </w:pPr>
    </w:p>
    <w:p w:rsidR="00BF582B" w:rsidRPr="001F6C98" w:rsidRDefault="00BF582B" w:rsidP="00BF582B">
      <w:pPr>
        <w:pStyle w:val="ListParagraph"/>
        <w:numPr>
          <w:ilvl w:val="0"/>
          <w:numId w:val="1"/>
        </w:numPr>
        <w:autoSpaceDE w:val="0"/>
        <w:autoSpaceDN w:val="0"/>
        <w:adjustRightInd w:val="0"/>
        <w:rPr>
          <w:rFonts w:ascii="Arial" w:hAnsi="Arial" w:cs="Arial"/>
          <w:color w:val="231F20"/>
          <w:sz w:val="22"/>
          <w:szCs w:val="22"/>
        </w:rPr>
      </w:pPr>
      <w:r w:rsidRPr="001F6C98">
        <w:rPr>
          <w:rFonts w:ascii="Arial" w:hAnsi="Arial" w:cs="Arial"/>
          <w:b/>
          <w:bCs/>
          <w:color w:val="231F20"/>
          <w:sz w:val="22"/>
          <w:szCs w:val="22"/>
        </w:rPr>
        <w:t>Make It Personal</w:t>
      </w:r>
      <w:r w:rsidR="008449F1">
        <w:rPr>
          <w:rFonts w:ascii="Arial" w:hAnsi="Arial" w:cs="Arial"/>
          <w:b/>
          <w:bCs/>
          <w:color w:val="231F20"/>
          <w:sz w:val="22"/>
          <w:szCs w:val="22"/>
        </w:rPr>
        <w:t xml:space="preserve"> </w:t>
      </w:r>
      <w:r w:rsidRPr="001F6C98">
        <w:rPr>
          <w:rFonts w:ascii="Arial" w:hAnsi="Arial" w:cs="Arial"/>
          <w:color w:val="231F20"/>
          <w:sz w:val="22"/>
          <w:szCs w:val="22"/>
        </w:rPr>
        <w:t>—</w:t>
      </w:r>
      <w:r w:rsidR="008449F1">
        <w:rPr>
          <w:rFonts w:ascii="Arial" w:hAnsi="Arial" w:cs="Arial"/>
          <w:color w:val="231F20"/>
          <w:sz w:val="22"/>
          <w:szCs w:val="22"/>
        </w:rPr>
        <w:t xml:space="preserve"> </w:t>
      </w:r>
      <w:r w:rsidRPr="001F6C98">
        <w:rPr>
          <w:rFonts w:ascii="Arial" w:hAnsi="Arial" w:cs="Arial"/>
          <w:color w:val="231F20"/>
          <w:sz w:val="22"/>
          <w:szCs w:val="22"/>
        </w:rPr>
        <w:t xml:space="preserve">Give your list of reporters a call or send them an e-mail several weeks in advance to introduce yourself and give them a “heads up” about the activities you have planned for NNHW. Most reporters will appreciate your news and it will make your second contact with them much smoother. Follow-up any phone calls you make with an e-mail detailing the events in writing. </w:t>
      </w:r>
    </w:p>
    <w:p w:rsidR="00BF582B" w:rsidRPr="001F6C98" w:rsidRDefault="00BF582B" w:rsidP="00BF582B">
      <w:pPr>
        <w:pStyle w:val="ListParagraph"/>
        <w:rPr>
          <w:rFonts w:ascii="Arial" w:hAnsi="Arial" w:cs="Arial"/>
          <w:color w:val="231F20"/>
          <w:sz w:val="22"/>
          <w:szCs w:val="22"/>
        </w:rPr>
      </w:pPr>
    </w:p>
    <w:p w:rsidR="00BF582B" w:rsidRPr="001F6C98" w:rsidRDefault="00BF582B" w:rsidP="00BF582B">
      <w:pPr>
        <w:pStyle w:val="ListParagraph"/>
        <w:numPr>
          <w:ilvl w:val="0"/>
          <w:numId w:val="1"/>
        </w:numPr>
        <w:autoSpaceDE w:val="0"/>
        <w:autoSpaceDN w:val="0"/>
        <w:adjustRightInd w:val="0"/>
        <w:rPr>
          <w:rFonts w:ascii="Arial" w:hAnsi="Arial" w:cs="Arial"/>
          <w:color w:val="231F20"/>
          <w:sz w:val="22"/>
          <w:szCs w:val="22"/>
        </w:rPr>
      </w:pPr>
      <w:r w:rsidRPr="001F6C98">
        <w:rPr>
          <w:rFonts w:ascii="Arial" w:hAnsi="Arial" w:cs="Arial"/>
          <w:b/>
          <w:bCs/>
          <w:color w:val="231F20"/>
          <w:sz w:val="22"/>
          <w:szCs w:val="22"/>
        </w:rPr>
        <w:t>All Hands on Deck</w:t>
      </w:r>
      <w:r w:rsidR="008449F1">
        <w:rPr>
          <w:rFonts w:ascii="Arial" w:hAnsi="Arial" w:cs="Arial"/>
          <w:b/>
          <w:bCs/>
          <w:color w:val="231F20"/>
          <w:sz w:val="22"/>
          <w:szCs w:val="22"/>
        </w:rPr>
        <w:t xml:space="preserve"> </w:t>
      </w:r>
      <w:r w:rsidRPr="001F6C98">
        <w:rPr>
          <w:rFonts w:ascii="Arial" w:hAnsi="Arial" w:cs="Arial"/>
          <w:color w:val="231F20"/>
          <w:sz w:val="22"/>
          <w:szCs w:val="22"/>
        </w:rPr>
        <w:t>—</w:t>
      </w:r>
      <w:r w:rsidR="008449F1">
        <w:rPr>
          <w:rFonts w:ascii="Arial" w:hAnsi="Arial" w:cs="Arial"/>
          <w:color w:val="231F20"/>
          <w:sz w:val="22"/>
          <w:szCs w:val="22"/>
        </w:rPr>
        <w:t xml:space="preserve"> </w:t>
      </w:r>
      <w:proofErr w:type="gramStart"/>
      <w:r w:rsidRPr="001F6C98">
        <w:rPr>
          <w:rFonts w:ascii="Arial" w:hAnsi="Arial" w:cs="Arial"/>
          <w:color w:val="231F20"/>
          <w:sz w:val="22"/>
          <w:szCs w:val="22"/>
        </w:rPr>
        <w:t>Make</w:t>
      </w:r>
      <w:proofErr w:type="gramEnd"/>
      <w:r w:rsidRPr="001F6C98">
        <w:rPr>
          <w:rFonts w:ascii="Arial" w:hAnsi="Arial" w:cs="Arial"/>
          <w:color w:val="231F20"/>
          <w:sz w:val="22"/>
          <w:szCs w:val="22"/>
        </w:rPr>
        <w:t xml:space="preserve"> sure all facility leaders and staff are aware that local members of the media have been invited to attend your event. If a media contact is coming, especially if it includes a camera crew, make sure that facility leaders are prepared and able to carry out the plans you have in place. Be on site to help direct your media contact around the facility and answer any questions. </w:t>
      </w:r>
    </w:p>
    <w:p w:rsidR="00BF582B" w:rsidRPr="001F6C98" w:rsidRDefault="00BF582B" w:rsidP="00BF582B">
      <w:pPr>
        <w:pStyle w:val="ListParagraph"/>
        <w:rPr>
          <w:rFonts w:ascii="Arial" w:hAnsi="Arial" w:cs="Arial"/>
          <w:color w:val="231F20"/>
          <w:sz w:val="22"/>
          <w:szCs w:val="22"/>
        </w:rPr>
      </w:pPr>
    </w:p>
    <w:p w:rsidR="00BF582B" w:rsidRPr="001F6C98" w:rsidRDefault="00BF582B" w:rsidP="00BF582B">
      <w:pPr>
        <w:pStyle w:val="ListParagraph"/>
        <w:numPr>
          <w:ilvl w:val="0"/>
          <w:numId w:val="1"/>
        </w:numPr>
        <w:autoSpaceDE w:val="0"/>
        <w:autoSpaceDN w:val="0"/>
        <w:adjustRightInd w:val="0"/>
        <w:rPr>
          <w:rFonts w:ascii="Arial" w:hAnsi="Arial" w:cs="Arial"/>
          <w:b/>
          <w:bCs/>
          <w:color w:val="231F20"/>
          <w:sz w:val="22"/>
          <w:szCs w:val="22"/>
        </w:rPr>
      </w:pPr>
      <w:r w:rsidRPr="001F6C98">
        <w:rPr>
          <w:rFonts w:ascii="Arial" w:hAnsi="Arial" w:cs="Arial"/>
          <w:b/>
          <w:bCs/>
          <w:color w:val="231F20"/>
          <w:sz w:val="22"/>
          <w:szCs w:val="22"/>
        </w:rPr>
        <w:t xml:space="preserve">One Reminder is not </w:t>
      </w:r>
      <w:proofErr w:type="gramStart"/>
      <w:r w:rsidRPr="001F6C98">
        <w:rPr>
          <w:rFonts w:ascii="Arial" w:hAnsi="Arial" w:cs="Arial"/>
          <w:b/>
          <w:bCs/>
          <w:color w:val="231F20"/>
          <w:sz w:val="22"/>
          <w:szCs w:val="22"/>
        </w:rPr>
        <w:t>Enough</w:t>
      </w:r>
      <w:proofErr w:type="gramEnd"/>
      <w:r w:rsidR="008449F1">
        <w:rPr>
          <w:rFonts w:ascii="Arial" w:hAnsi="Arial" w:cs="Arial"/>
          <w:b/>
          <w:bCs/>
          <w:color w:val="231F20"/>
          <w:sz w:val="22"/>
          <w:szCs w:val="22"/>
        </w:rPr>
        <w:t xml:space="preserve"> </w:t>
      </w:r>
      <w:r w:rsidRPr="001F6C98">
        <w:rPr>
          <w:rFonts w:ascii="Arial" w:hAnsi="Arial" w:cs="Arial"/>
          <w:bCs/>
          <w:color w:val="231F20"/>
          <w:sz w:val="22"/>
          <w:szCs w:val="22"/>
        </w:rPr>
        <w:t>—</w:t>
      </w:r>
      <w:r w:rsidR="008449F1">
        <w:rPr>
          <w:rFonts w:ascii="Arial" w:hAnsi="Arial" w:cs="Arial"/>
          <w:bCs/>
          <w:color w:val="231F20"/>
          <w:sz w:val="22"/>
          <w:szCs w:val="22"/>
        </w:rPr>
        <w:t xml:space="preserve"> </w:t>
      </w:r>
      <w:r w:rsidRPr="001F6C98">
        <w:rPr>
          <w:rFonts w:ascii="Arial" w:hAnsi="Arial" w:cs="Arial"/>
          <w:color w:val="231F20"/>
          <w:sz w:val="22"/>
          <w:szCs w:val="22"/>
        </w:rPr>
        <w:t>Be sure to remind your invited media contacts about your events. Follow-up should take place in both phone calls and e-mail. Once is not enough—unless you receive a confirmation. In this case, refer to #3 and prepare to continue the great relationship you have started with your media contact!</w:t>
      </w:r>
    </w:p>
    <w:p w:rsidR="00BF582B" w:rsidRPr="001F6C98" w:rsidRDefault="00BF582B" w:rsidP="00BF582B">
      <w:pPr>
        <w:pStyle w:val="ListParagraph"/>
        <w:rPr>
          <w:rFonts w:ascii="Arial" w:hAnsi="Arial" w:cs="Arial"/>
          <w:bCs/>
          <w:color w:val="231F20"/>
          <w:sz w:val="22"/>
          <w:szCs w:val="22"/>
        </w:rPr>
      </w:pPr>
    </w:p>
    <w:p w:rsidR="00BF582B" w:rsidRPr="001F6C98" w:rsidRDefault="00BF582B" w:rsidP="00BF582B">
      <w:pPr>
        <w:pStyle w:val="ListParagraph"/>
        <w:numPr>
          <w:ilvl w:val="0"/>
          <w:numId w:val="1"/>
        </w:numPr>
        <w:autoSpaceDE w:val="0"/>
        <w:autoSpaceDN w:val="0"/>
        <w:adjustRightInd w:val="0"/>
        <w:rPr>
          <w:rFonts w:ascii="Arial" w:hAnsi="Arial" w:cs="Arial"/>
          <w:b/>
          <w:bCs/>
          <w:color w:val="231F20"/>
          <w:sz w:val="22"/>
          <w:szCs w:val="22"/>
        </w:rPr>
      </w:pPr>
      <w:r w:rsidRPr="001F6C98">
        <w:rPr>
          <w:rFonts w:ascii="Arial" w:hAnsi="Arial" w:cs="Arial"/>
          <w:b/>
          <w:bCs/>
          <w:color w:val="231F20"/>
          <w:sz w:val="22"/>
          <w:szCs w:val="22"/>
        </w:rPr>
        <w:t>The Power of Follow-up</w:t>
      </w:r>
      <w:r w:rsidR="008449F1">
        <w:rPr>
          <w:rFonts w:ascii="Arial" w:hAnsi="Arial" w:cs="Arial"/>
          <w:b/>
          <w:bCs/>
          <w:color w:val="231F20"/>
          <w:sz w:val="22"/>
          <w:szCs w:val="22"/>
        </w:rPr>
        <w:t xml:space="preserve"> </w:t>
      </w:r>
      <w:r w:rsidRPr="001F6C98">
        <w:rPr>
          <w:rFonts w:ascii="Arial" w:hAnsi="Arial" w:cs="Arial"/>
          <w:b/>
          <w:bCs/>
          <w:color w:val="231F20"/>
          <w:sz w:val="22"/>
          <w:szCs w:val="22"/>
        </w:rPr>
        <w:t>—</w:t>
      </w:r>
      <w:r w:rsidR="008449F1">
        <w:rPr>
          <w:rFonts w:ascii="Arial" w:hAnsi="Arial" w:cs="Arial"/>
          <w:b/>
          <w:bCs/>
          <w:color w:val="231F20"/>
          <w:sz w:val="22"/>
          <w:szCs w:val="22"/>
        </w:rPr>
        <w:t xml:space="preserve"> </w:t>
      </w:r>
      <w:proofErr w:type="gramStart"/>
      <w:r w:rsidRPr="001F6C98">
        <w:rPr>
          <w:rFonts w:ascii="Arial" w:hAnsi="Arial" w:cs="Arial"/>
          <w:color w:val="231F20"/>
          <w:sz w:val="22"/>
          <w:szCs w:val="22"/>
        </w:rPr>
        <w:t>Be</w:t>
      </w:r>
      <w:proofErr w:type="gramEnd"/>
      <w:r w:rsidRPr="001F6C98">
        <w:rPr>
          <w:rFonts w:ascii="Arial" w:hAnsi="Arial" w:cs="Arial"/>
          <w:color w:val="231F20"/>
          <w:sz w:val="22"/>
          <w:szCs w:val="22"/>
        </w:rPr>
        <w:t xml:space="preserve"> sure to follow-up immediately with your contact to fulfill any promises you have made and make sure they have all they need. A handwritten thank-you note that includes your business card is always a great way to show that you appreciate their time and participation. With an effective follow-up effort, your media contact is more likely to keep your name on file as a reliable source in the nursing home community.</w:t>
      </w:r>
    </w:p>
    <w:p w:rsidR="00BF582B" w:rsidRPr="001F6C98" w:rsidRDefault="00BF582B" w:rsidP="00BF582B">
      <w:pPr>
        <w:pStyle w:val="ListParagraph"/>
        <w:rPr>
          <w:rFonts w:ascii="Arial" w:hAnsi="Arial" w:cs="Arial"/>
          <w:bCs/>
          <w:color w:val="231F20"/>
          <w:sz w:val="22"/>
          <w:szCs w:val="22"/>
        </w:rPr>
      </w:pPr>
    </w:p>
    <w:p w:rsidR="00BF582B" w:rsidRPr="001F6C98" w:rsidRDefault="00BF582B" w:rsidP="00BF582B">
      <w:pPr>
        <w:autoSpaceDE w:val="0"/>
        <w:autoSpaceDN w:val="0"/>
        <w:adjustRightInd w:val="0"/>
        <w:rPr>
          <w:rFonts w:ascii="Arial" w:hAnsi="Arial" w:cs="Arial"/>
          <w:iCs/>
          <w:color w:val="231F20"/>
          <w:sz w:val="22"/>
          <w:szCs w:val="22"/>
        </w:rPr>
      </w:pPr>
      <w:r w:rsidRPr="001F6C98">
        <w:rPr>
          <w:rFonts w:ascii="Arial" w:hAnsi="Arial" w:cs="Arial"/>
          <w:iCs/>
          <w:color w:val="231F20"/>
          <w:sz w:val="22"/>
          <w:szCs w:val="22"/>
        </w:rPr>
        <w:t xml:space="preserve">Once you have successfully completed these steps, give yourself a pat on the back! Media relations and positive PR takes time, </w:t>
      </w:r>
      <w:bookmarkStart w:id="0" w:name="_GoBack"/>
      <w:bookmarkEnd w:id="0"/>
      <w:r w:rsidR="008449F1" w:rsidRPr="001F6C98">
        <w:rPr>
          <w:rFonts w:ascii="Arial" w:hAnsi="Arial" w:cs="Arial"/>
          <w:iCs/>
          <w:color w:val="231F20"/>
          <w:sz w:val="22"/>
          <w:szCs w:val="22"/>
        </w:rPr>
        <w:t>dedication,</w:t>
      </w:r>
      <w:r w:rsidRPr="001F6C98">
        <w:rPr>
          <w:rFonts w:ascii="Arial" w:hAnsi="Arial" w:cs="Arial"/>
          <w:iCs/>
          <w:color w:val="231F20"/>
          <w:sz w:val="22"/>
          <w:szCs w:val="22"/>
        </w:rPr>
        <w:t xml:space="preserve"> and perseverance.</w:t>
      </w:r>
    </w:p>
    <w:p w:rsidR="00BF582B" w:rsidRDefault="00BF582B" w:rsidP="00BF582B">
      <w:pPr>
        <w:autoSpaceDE w:val="0"/>
        <w:autoSpaceDN w:val="0"/>
        <w:adjustRightInd w:val="0"/>
        <w:rPr>
          <w:rFonts w:ascii="Raavi" w:hAnsi="Raavi" w:cs="Raavi"/>
          <w:color w:val="231F20"/>
          <w:sz w:val="22"/>
          <w:szCs w:val="22"/>
        </w:rPr>
      </w:pPr>
    </w:p>
    <w:p w:rsidR="00BF582B" w:rsidRPr="00810920" w:rsidRDefault="001F6C98" w:rsidP="00BF582B">
      <w:pPr>
        <w:autoSpaceDE w:val="0"/>
        <w:autoSpaceDN w:val="0"/>
        <w:adjustRightInd w:val="0"/>
        <w:rPr>
          <w:rFonts w:ascii="Raavi" w:hAnsi="Raavi" w:cs="Raavi"/>
          <w:i/>
          <w:color w:val="1F497D" w:themeColor="text2"/>
          <w:sz w:val="22"/>
          <w:szCs w:val="22"/>
        </w:rPr>
      </w:pPr>
      <w:r>
        <w:rPr>
          <w:rFonts w:ascii="Raavi" w:hAnsi="Raavi" w:cs="Raavi"/>
          <w:b/>
          <w:bCs/>
          <w:i/>
          <w:sz w:val="22"/>
          <w:szCs w:val="22"/>
        </w:rPr>
        <w:t xml:space="preserve">For more information on </w:t>
      </w:r>
      <w:r w:rsidR="00BF582B" w:rsidRPr="00070562">
        <w:rPr>
          <w:rFonts w:ascii="Raavi" w:hAnsi="Raavi" w:cs="Raavi"/>
          <w:i/>
          <w:sz w:val="22"/>
          <w:szCs w:val="22"/>
        </w:rPr>
        <w:t>NNHW 201</w:t>
      </w:r>
      <w:r>
        <w:rPr>
          <w:rFonts w:ascii="Raavi" w:hAnsi="Raavi" w:cs="Raavi"/>
          <w:i/>
          <w:sz w:val="22"/>
          <w:szCs w:val="22"/>
        </w:rPr>
        <w:t xml:space="preserve">4, visit </w:t>
      </w:r>
      <w:hyperlink r:id="rId8" w:history="1">
        <w:r w:rsidR="00BF582B" w:rsidRPr="00810920">
          <w:rPr>
            <w:rStyle w:val="Hyperlink"/>
            <w:rFonts w:ascii="Raavi" w:hAnsi="Raavi" w:cs="Raavi"/>
            <w:b/>
            <w:i/>
            <w:sz w:val="22"/>
            <w:szCs w:val="22"/>
          </w:rPr>
          <w:t>www.nnhw.org</w:t>
        </w:r>
      </w:hyperlink>
      <w:r w:rsidR="00BF582B" w:rsidRPr="00810920">
        <w:rPr>
          <w:rFonts w:ascii="Raavi" w:hAnsi="Raavi" w:cs="Raavi"/>
          <w:i/>
          <w:color w:val="1F497D" w:themeColor="text2"/>
          <w:sz w:val="22"/>
          <w:szCs w:val="22"/>
        </w:rPr>
        <w:t xml:space="preserve">! </w:t>
      </w:r>
    </w:p>
    <w:p w:rsidR="00BF582B" w:rsidRDefault="00BF582B" w:rsidP="00BF582B">
      <w:pPr>
        <w:spacing w:line="360" w:lineRule="auto"/>
        <w:rPr>
          <w:rFonts w:ascii="Tahoma" w:hAnsi="Tahoma" w:cs="Tahoma"/>
          <w:color w:val="000000"/>
          <w:szCs w:val="17"/>
        </w:rPr>
      </w:pPr>
    </w:p>
    <w:sectPr w:rsidR="00BF582B" w:rsidSect="00F276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73" w:rsidRDefault="00FC5D73" w:rsidP="00BF582B">
      <w:r>
        <w:separator/>
      </w:r>
    </w:p>
  </w:endnote>
  <w:endnote w:type="continuationSeparator" w:id="0">
    <w:p w:rsidR="00FC5D73" w:rsidRDefault="00FC5D73" w:rsidP="00BF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F8" w:rsidRPr="00D915EB" w:rsidRDefault="001F6C98" w:rsidP="00B1039F">
    <w:pPr>
      <w:pStyle w:val="Footer"/>
      <w:rPr>
        <w:i/>
        <w:sz w:val="20"/>
      </w:rPr>
    </w:pPr>
    <w:r>
      <w:t>NNHW Publicity AHCA</w:t>
    </w:r>
  </w:p>
  <w:p w:rsidR="001E1BF8" w:rsidRDefault="00FC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73" w:rsidRDefault="00FC5D73" w:rsidP="00BF582B">
      <w:r>
        <w:separator/>
      </w:r>
    </w:p>
  </w:footnote>
  <w:footnote w:type="continuationSeparator" w:id="0">
    <w:p w:rsidR="00FC5D73" w:rsidRDefault="00FC5D73" w:rsidP="00BF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F8" w:rsidRDefault="00BF582B" w:rsidP="00B1039F">
    <w:pPr>
      <w:pStyle w:val="Header"/>
    </w:pPr>
    <w:r>
      <w:t>National Nursing Home Week 2014</w:t>
    </w:r>
  </w:p>
  <w:p w:rsidR="001E1BF8" w:rsidRDefault="00FC5D73" w:rsidP="00B1039F">
    <w:pPr>
      <w:pStyle w:val="Header"/>
      <w:jc w:val="center"/>
      <w:rPr>
        <w:b/>
        <w:sz w:val="28"/>
        <w:szCs w:val="28"/>
      </w:rPr>
    </w:pPr>
  </w:p>
  <w:p w:rsidR="001E1BF8" w:rsidRPr="00E93929" w:rsidRDefault="00BF582B" w:rsidP="00B1039F">
    <w:pPr>
      <w:pStyle w:val="Header"/>
      <w:jc w:val="center"/>
      <w:rPr>
        <w:b/>
        <w:sz w:val="28"/>
        <w:szCs w:val="28"/>
      </w:rPr>
    </w:pPr>
    <w:r>
      <w:rPr>
        <w:b/>
        <w:sz w:val="32"/>
        <w:szCs w:val="32"/>
      </w:rPr>
      <w:t>Workin’ It: Publicity</w:t>
    </w:r>
  </w:p>
  <w:p w:rsidR="001E1BF8" w:rsidRDefault="00FC5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951"/>
    <w:multiLevelType w:val="hybridMultilevel"/>
    <w:tmpl w:val="3ECA3CAA"/>
    <w:lvl w:ilvl="0" w:tplc="BD8AD7B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2B"/>
    <w:rsid w:val="001F6C98"/>
    <w:rsid w:val="008449F1"/>
    <w:rsid w:val="009D5408"/>
    <w:rsid w:val="00BF582B"/>
    <w:rsid w:val="00EF50E5"/>
    <w:rsid w:val="00FC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2B"/>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82B"/>
    <w:rPr>
      <w:color w:val="0000FF"/>
      <w:u w:val="single"/>
    </w:rPr>
  </w:style>
  <w:style w:type="paragraph" w:styleId="ListParagraph">
    <w:name w:val="List Paragraph"/>
    <w:basedOn w:val="Normal"/>
    <w:uiPriority w:val="99"/>
    <w:qFormat/>
    <w:rsid w:val="00BF582B"/>
    <w:pPr>
      <w:suppressAutoHyphens w:val="0"/>
      <w:ind w:left="720"/>
    </w:pPr>
    <w:rPr>
      <w:szCs w:val="24"/>
      <w:lang w:eastAsia="en-US"/>
    </w:rPr>
  </w:style>
  <w:style w:type="paragraph" w:styleId="Header">
    <w:name w:val="header"/>
    <w:basedOn w:val="Normal"/>
    <w:link w:val="HeaderChar"/>
    <w:uiPriority w:val="99"/>
    <w:unhideWhenUsed/>
    <w:rsid w:val="00BF582B"/>
    <w:pPr>
      <w:tabs>
        <w:tab w:val="center" w:pos="4680"/>
        <w:tab w:val="right" w:pos="9360"/>
      </w:tabs>
    </w:pPr>
  </w:style>
  <w:style w:type="character" w:customStyle="1" w:styleId="HeaderChar">
    <w:name w:val="Header Char"/>
    <w:basedOn w:val="DefaultParagraphFont"/>
    <w:link w:val="Header"/>
    <w:uiPriority w:val="99"/>
    <w:rsid w:val="00BF582B"/>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BF582B"/>
    <w:pPr>
      <w:tabs>
        <w:tab w:val="center" w:pos="4680"/>
        <w:tab w:val="right" w:pos="9360"/>
      </w:tabs>
    </w:pPr>
  </w:style>
  <w:style w:type="character" w:customStyle="1" w:styleId="FooterChar">
    <w:name w:val="Footer Char"/>
    <w:basedOn w:val="DefaultParagraphFont"/>
    <w:link w:val="Footer"/>
    <w:uiPriority w:val="99"/>
    <w:rsid w:val="00BF582B"/>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2B"/>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82B"/>
    <w:rPr>
      <w:color w:val="0000FF"/>
      <w:u w:val="single"/>
    </w:rPr>
  </w:style>
  <w:style w:type="paragraph" w:styleId="ListParagraph">
    <w:name w:val="List Paragraph"/>
    <w:basedOn w:val="Normal"/>
    <w:uiPriority w:val="99"/>
    <w:qFormat/>
    <w:rsid w:val="00BF582B"/>
    <w:pPr>
      <w:suppressAutoHyphens w:val="0"/>
      <w:ind w:left="720"/>
    </w:pPr>
    <w:rPr>
      <w:szCs w:val="24"/>
      <w:lang w:eastAsia="en-US"/>
    </w:rPr>
  </w:style>
  <w:style w:type="paragraph" w:styleId="Header">
    <w:name w:val="header"/>
    <w:basedOn w:val="Normal"/>
    <w:link w:val="HeaderChar"/>
    <w:uiPriority w:val="99"/>
    <w:unhideWhenUsed/>
    <w:rsid w:val="00BF582B"/>
    <w:pPr>
      <w:tabs>
        <w:tab w:val="center" w:pos="4680"/>
        <w:tab w:val="right" w:pos="9360"/>
      </w:tabs>
    </w:pPr>
  </w:style>
  <w:style w:type="character" w:customStyle="1" w:styleId="HeaderChar">
    <w:name w:val="Header Char"/>
    <w:basedOn w:val="DefaultParagraphFont"/>
    <w:link w:val="Header"/>
    <w:uiPriority w:val="99"/>
    <w:rsid w:val="00BF582B"/>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BF582B"/>
    <w:pPr>
      <w:tabs>
        <w:tab w:val="center" w:pos="4680"/>
        <w:tab w:val="right" w:pos="9360"/>
      </w:tabs>
    </w:pPr>
  </w:style>
  <w:style w:type="character" w:customStyle="1" w:styleId="FooterChar">
    <w:name w:val="Footer Char"/>
    <w:basedOn w:val="DefaultParagraphFont"/>
    <w:link w:val="Footer"/>
    <w:uiPriority w:val="99"/>
    <w:rsid w:val="00BF582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T05-2000\SHARED\IAC\Shared\2009%20Files\NNHW\2010\Planning%20Guide\www.nnhw.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Burke</dc:creator>
  <cp:lastModifiedBy>Tom Burke</cp:lastModifiedBy>
  <cp:revision>3</cp:revision>
  <dcterms:created xsi:type="dcterms:W3CDTF">2014-05-09T13:45:00Z</dcterms:created>
  <dcterms:modified xsi:type="dcterms:W3CDTF">2014-05-09T14:05:00Z</dcterms:modified>
</cp:coreProperties>
</file>